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59E2" w14:textId="77777777" w:rsidR="006E2BD5" w:rsidRPr="002D10BC" w:rsidRDefault="001F222A" w:rsidP="006E2B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0BC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17378A8" wp14:editId="45E886BE">
            <wp:simplePos x="0" y="0"/>
            <wp:positionH relativeFrom="column">
              <wp:posOffset>5114925</wp:posOffset>
            </wp:positionH>
            <wp:positionV relativeFrom="paragraph">
              <wp:posOffset>-628650</wp:posOffset>
            </wp:positionV>
            <wp:extent cx="981075" cy="1080604"/>
            <wp:effectExtent l="19050" t="0" r="9525" b="0"/>
            <wp:wrapNone/>
            <wp:docPr id="1" name="Picture 1" descr="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BD5" w:rsidRPr="002D10BC">
        <w:rPr>
          <w:rFonts w:ascii="Arial" w:hAnsi="Arial" w:cs="Arial"/>
          <w:b/>
          <w:bCs/>
          <w:sz w:val="22"/>
          <w:szCs w:val="22"/>
        </w:rPr>
        <w:t>Bagnall and Morris</w:t>
      </w:r>
      <w:r w:rsidRPr="002D10BC">
        <w:rPr>
          <w:rFonts w:ascii="Arial" w:hAnsi="Arial" w:cs="Arial"/>
          <w:b/>
          <w:bCs/>
          <w:sz w:val="22"/>
          <w:szCs w:val="22"/>
        </w:rPr>
        <w:t xml:space="preserve"> Waste Services Ltd</w:t>
      </w:r>
      <w:r w:rsidR="006E2BD5" w:rsidRPr="002D10B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DB13AF" w14:textId="77777777" w:rsidR="006E2BD5" w:rsidRPr="002D10BC" w:rsidRDefault="006E2BD5" w:rsidP="006E2B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FF95" w14:textId="77777777" w:rsidR="006E2BD5" w:rsidRPr="002D10BC" w:rsidRDefault="006E2BD5" w:rsidP="006E2B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0BC">
        <w:rPr>
          <w:rFonts w:ascii="Arial" w:hAnsi="Arial" w:cs="Arial"/>
          <w:b/>
          <w:bCs/>
          <w:sz w:val="22"/>
          <w:szCs w:val="22"/>
        </w:rPr>
        <w:t>JOB DESCRIPTION</w:t>
      </w:r>
    </w:p>
    <w:p w14:paraId="51EFDD41" w14:textId="77777777" w:rsidR="006E2BD5" w:rsidRPr="002D10BC" w:rsidRDefault="006E2BD5" w:rsidP="006E2BD5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5563"/>
      </w:tblGrid>
      <w:tr w:rsidR="006E2BD5" w:rsidRPr="002D10BC" w14:paraId="1E8A8DAA" w14:textId="77777777" w:rsidTr="00245424">
        <w:trPr>
          <w:cantSplit/>
        </w:trPr>
        <w:tc>
          <w:tcPr>
            <w:tcW w:w="9322" w:type="dxa"/>
            <w:gridSpan w:val="2"/>
          </w:tcPr>
          <w:p w14:paraId="7A07F68E" w14:textId="24446E09" w:rsidR="006E2BD5" w:rsidRPr="002D10BC" w:rsidRDefault="006E2BD5" w:rsidP="00C20668">
            <w:pPr>
              <w:rPr>
                <w:rFonts w:ascii="Arial" w:hAnsi="Arial" w:cs="Arial"/>
                <w:sz w:val="22"/>
                <w:szCs w:val="22"/>
              </w:rPr>
            </w:pPr>
            <w:r w:rsidRPr="002D10BC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  <w:r w:rsidR="001F222A" w:rsidRPr="002D10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3D">
              <w:rPr>
                <w:rFonts w:ascii="Arial" w:hAnsi="Arial" w:cs="Arial"/>
                <w:sz w:val="22"/>
                <w:szCs w:val="22"/>
              </w:rPr>
              <w:t xml:space="preserve">Business Manager </w:t>
            </w:r>
          </w:p>
        </w:tc>
      </w:tr>
      <w:tr w:rsidR="006E2BD5" w:rsidRPr="002D10BC" w14:paraId="262FD126" w14:textId="77777777" w:rsidTr="00245424">
        <w:trPr>
          <w:cantSplit/>
        </w:trPr>
        <w:tc>
          <w:tcPr>
            <w:tcW w:w="3759" w:type="dxa"/>
          </w:tcPr>
          <w:p w14:paraId="446971C6" w14:textId="458F8F7E" w:rsidR="006E2BD5" w:rsidRPr="002D10BC" w:rsidRDefault="006E2BD5" w:rsidP="00C20668">
            <w:pPr>
              <w:rPr>
                <w:rFonts w:ascii="Arial" w:hAnsi="Arial" w:cs="Arial"/>
                <w:sz w:val="22"/>
                <w:szCs w:val="22"/>
              </w:rPr>
            </w:pPr>
            <w:r w:rsidRPr="002D10BC">
              <w:rPr>
                <w:rFonts w:ascii="Arial" w:hAnsi="Arial" w:cs="Arial"/>
                <w:sz w:val="22"/>
                <w:szCs w:val="22"/>
              </w:rPr>
              <w:t>DEPARTMENT:</w:t>
            </w:r>
            <w:r w:rsidR="00417D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3D">
              <w:rPr>
                <w:rFonts w:ascii="Arial" w:hAnsi="Arial" w:cs="Arial"/>
                <w:sz w:val="22"/>
                <w:szCs w:val="22"/>
              </w:rPr>
              <w:t xml:space="preserve">Hazardous Waste </w:t>
            </w:r>
          </w:p>
        </w:tc>
        <w:tc>
          <w:tcPr>
            <w:tcW w:w="5563" w:type="dxa"/>
          </w:tcPr>
          <w:p w14:paraId="1C3E898E" w14:textId="1DF4C3E0" w:rsidR="006E2BD5" w:rsidRPr="002D10BC" w:rsidRDefault="006E2BD5" w:rsidP="00C20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0BC">
              <w:rPr>
                <w:rFonts w:ascii="Arial" w:hAnsi="Arial" w:cs="Arial"/>
                <w:sz w:val="22"/>
                <w:szCs w:val="22"/>
              </w:rPr>
              <w:t>DIVISION/SECTION</w:t>
            </w:r>
            <w:r w:rsidRPr="002D10B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C3B44" w:rsidRPr="002D10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0668">
              <w:rPr>
                <w:rFonts w:ascii="Arial" w:hAnsi="Arial" w:cs="Arial"/>
                <w:b/>
                <w:sz w:val="22"/>
                <w:szCs w:val="22"/>
              </w:rPr>
              <w:t>Bromborough</w:t>
            </w:r>
            <w:r w:rsidR="00B121B1">
              <w:rPr>
                <w:rFonts w:ascii="Arial" w:hAnsi="Arial" w:cs="Arial"/>
                <w:b/>
                <w:sz w:val="22"/>
                <w:szCs w:val="22"/>
              </w:rPr>
              <w:t xml:space="preserve"> Wirral </w:t>
            </w:r>
          </w:p>
        </w:tc>
      </w:tr>
      <w:tr w:rsidR="001801CD" w:rsidRPr="002D10BC" w14:paraId="64C47881" w14:textId="77777777" w:rsidTr="00781A25">
        <w:trPr>
          <w:cantSplit/>
        </w:trPr>
        <w:tc>
          <w:tcPr>
            <w:tcW w:w="9322" w:type="dxa"/>
            <w:gridSpan w:val="2"/>
          </w:tcPr>
          <w:p w14:paraId="13775A00" w14:textId="17EE5F27" w:rsidR="001801CD" w:rsidRPr="002D10BC" w:rsidRDefault="001801CD" w:rsidP="00C20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TO:</w:t>
            </w:r>
            <w:r w:rsidR="00F329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3D">
              <w:rPr>
                <w:rFonts w:ascii="Arial" w:hAnsi="Arial" w:cs="Arial"/>
                <w:sz w:val="22"/>
                <w:szCs w:val="22"/>
              </w:rPr>
              <w:t xml:space="preserve">Paul Curtis </w:t>
            </w:r>
          </w:p>
        </w:tc>
      </w:tr>
    </w:tbl>
    <w:p w14:paraId="604FEA24" w14:textId="77777777" w:rsidR="006E2BD5" w:rsidRPr="002D10BC" w:rsidRDefault="006E2BD5" w:rsidP="006E2BD5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E2BD5" w:rsidRPr="002D10BC" w14:paraId="00F98C2D" w14:textId="77777777" w:rsidTr="00245424">
        <w:tc>
          <w:tcPr>
            <w:tcW w:w="9322" w:type="dxa"/>
          </w:tcPr>
          <w:p w14:paraId="5E901A7C" w14:textId="77777777" w:rsidR="00417D04" w:rsidRPr="00417D04" w:rsidRDefault="00417D04" w:rsidP="008E37A8">
            <w:pPr>
              <w:pStyle w:val="EndnoteText"/>
              <w:rPr>
                <w:rFonts w:ascii="Arial" w:hAnsi="Arial" w:cs="Arial"/>
                <w:sz w:val="6"/>
                <w:szCs w:val="22"/>
              </w:rPr>
            </w:pPr>
          </w:p>
          <w:p w14:paraId="63C8D194" w14:textId="35458BC0" w:rsidR="00FE003D" w:rsidRPr="00016601" w:rsidRDefault="00FE003D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B&amp;M Waste Services Ltd</w:t>
            </w:r>
            <w:r w:rsidR="002A3E6F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. is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a leading provider of waste and recycling solutions, with locations in Manchester</w:t>
            </w:r>
            <w:r w:rsidR="002A3E6F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,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Wirral</w:t>
            </w:r>
            <w:r w:rsidR="002A3E6F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,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Leeds</w:t>
            </w:r>
            <w:proofErr w:type="gramEnd"/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and Birmingham.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We specialise in 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waste minimisation and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r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ecycling and provid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e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a one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-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stop solution to our customers. We provide services for hazardous and non-hazardous waste materials directly via our own fleet or brokered through our national network of service partners.</w:t>
            </w:r>
          </w:p>
          <w:p w14:paraId="2A1D1905" w14:textId="591D6611" w:rsidR="00FE003D" w:rsidRPr="00016601" w:rsidRDefault="00FE003D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Our head office on the Wirral is home to our Hazardous Waste department and supports our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n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ational customer base across a wide range of industry sectors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,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offering services for Clinical, Electrical and Chemical waste.</w:t>
            </w:r>
          </w:p>
          <w:p w14:paraId="2A1BA0EE" w14:textId="77777777" w:rsidR="006E2BD5" w:rsidRPr="00AD6BF7" w:rsidRDefault="006E2BD5" w:rsidP="0068193F">
            <w:pPr>
              <w:spacing w:after="60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</w:tbl>
    <w:p w14:paraId="0083594B" w14:textId="77777777" w:rsidR="006E2BD5" w:rsidRPr="002D10BC" w:rsidRDefault="006E2BD5" w:rsidP="006E2B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10BC" w14:paraId="348E41BE" w14:textId="77777777" w:rsidTr="00353711">
        <w:tc>
          <w:tcPr>
            <w:tcW w:w="9322" w:type="dxa"/>
          </w:tcPr>
          <w:p w14:paraId="1A02E2E6" w14:textId="57E16FBE" w:rsidR="0068193F" w:rsidRDefault="00FE003D" w:rsidP="0068193F">
            <w:pPr>
              <w:spacing w:after="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BUSINESS MANAGER - THE ROLE: </w:t>
            </w:r>
          </w:p>
          <w:p w14:paraId="2948CFAC" w14:textId="77777777" w:rsidR="00FE003D" w:rsidRDefault="00FE003D" w:rsidP="0068193F">
            <w:pPr>
              <w:spacing w:after="60"/>
              <w:contextualSpacing/>
              <w:rPr>
                <w:rFonts w:ascii="Arial" w:hAnsi="Arial" w:cs="Arial"/>
                <w:sz w:val="22"/>
              </w:rPr>
            </w:pPr>
          </w:p>
          <w:p w14:paraId="2D9ACE7D" w14:textId="77777777" w:rsidR="00FE003D" w:rsidRPr="00FE003D" w:rsidRDefault="00FE003D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FE003D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The Business Manager will be responsible for the further development of the Hazardous Waste department, while maintaining alignment with the business strategy.</w:t>
            </w:r>
          </w:p>
          <w:p w14:paraId="26F04F4E" w14:textId="7DC1ADED" w:rsidR="00FE003D" w:rsidRPr="00FE003D" w:rsidRDefault="00FE003D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FE003D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To oversee all aspects of business operations, developing and meeting annual budgets, profit targets, sales, and growth plans for the business unit in alignment with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the </w:t>
            </w:r>
            <w:r w:rsidRPr="00FE003D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strategic objectives of the wider business.</w:t>
            </w:r>
          </w:p>
          <w:p w14:paraId="5D9EEA45" w14:textId="780FE614" w:rsidR="00FE003D" w:rsidRPr="0068193F" w:rsidRDefault="00FE003D" w:rsidP="0068193F">
            <w:pPr>
              <w:spacing w:after="60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507CE659" w14:textId="02ECE583" w:rsidR="006E2BD5" w:rsidRPr="002D10BC" w:rsidRDefault="006E2BD5" w:rsidP="006E2BD5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E2BD5" w:rsidRPr="002D10BC" w14:paraId="18F1242D" w14:textId="77777777" w:rsidTr="00353711">
        <w:trPr>
          <w:cantSplit/>
          <w:trHeight w:val="272"/>
        </w:trPr>
        <w:tc>
          <w:tcPr>
            <w:tcW w:w="9322" w:type="dxa"/>
            <w:tcBorders>
              <w:bottom w:val="nil"/>
            </w:tcBorders>
          </w:tcPr>
          <w:p w14:paraId="356FB14A" w14:textId="73CDB27E" w:rsidR="00FE003D" w:rsidRPr="00FE003D" w:rsidRDefault="00FE003D" w:rsidP="00FE003D">
            <w:pPr>
              <w:spacing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</w:t>
            </w:r>
            <w:r w:rsidR="00032C9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BILITES</w:t>
            </w:r>
            <w:r w:rsidR="00032C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2BD5" w:rsidRPr="002D10BC" w14:paraId="51BAD935" w14:textId="77777777" w:rsidTr="00353711">
        <w:tc>
          <w:tcPr>
            <w:tcW w:w="9322" w:type="dxa"/>
          </w:tcPr>
          <w:p w14:paraId="76057FFA" w14:textId="5C06470D" w:rsidR="00C62D65" w:rsidRPr="00016601" w:rsidRDefault="00690A98" w:rsidP="00723880">
            <w:pPr>
              <w:rPr>
                <w:rFonts w:ascii="Arial" w:hAnsi="Arial" w:cs="Arial"/>
                <w:sz w:val="22"/>
                <w:szCs w:val="22"/>
              </w:rPr>
            </w:pPr>
            <w:r w:rsidRPr="000166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1C071F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Responsible for Hazardous Department commercial and operational performance, ensuring efficient responses and processing of customer enquiries and orders.</w:t>
            </w:r>
          </w:p>
          <w:p w14:paraId="684A2A2C" w14:textId="54AAA804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Ensure all technical guidance and legislative requirements regarding hazardous waste collections and disposal are adhered t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o.</w:t>
            </w:r>
          </w:p>
          <w:p w14:paraId="0040B8C6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Selection, appointment, monitoring and auditing of service partners.</w:t>
            </w:r>
          </w:p>
          <w:p w14:paraId="4DFD2ECA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Perform a full analysis of current service partners to further develop the hazardous waste services and coverage.</w:t>
            </w:r>
          </w:p>
          <w:p w14:paraId="04F8D155" w14:textId="0435F5F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Expand existing and add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further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service lines to meet customer and market demands.</w:t>
            </w:r>
          </w:p>
          <w:p w14:paraId="5883527D" w14:textId="00DAF55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Formulate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the 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annual budget and report on department performance monthly.</w:t>
            </w:r>
          </w:p>
          <w:p w14:paraId="4100707C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Develop and maintain performance metrics/ KPIs, capabilities and associated reporting to monitor and measure the performance of the department.</w:t>
            </w:r>
          </w:p>
          <w:p w14:paraId="48E80E2D" w14:textId="6B02BBAE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Act as point of escalation for customer complaints and queries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.</w:t>
            </w:r>
          </w:p>
          <w:p w14:paraId="0974B8FB" w14:textId="532F1B66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Customer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a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ccount management and interaction as required.</w:t>
            </w:r>
          </w:p>
          <w:p w14:paraId="5DE9267C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Develop a business strategy and actively seek new business opportunities and customers.</w:t>
            </w:r>
          </w:p>
          <w:p w14:paraId="547650D1" w14:textId="77777777" w:rsidR="00FE003D" w:rsidRPr="00016601" w:rsidRDefault="00FE003D" w:rsidP="00FE003D">
            <w:pPr>
              <w:numPr>
                <w:ilvl w:val="0"/>
                <w:numId w:val="2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Be a key member of the management team supporting wider strategy discussions.</w:t>
            </w:r>
          </w:p>
          <w:p w14:paraId="36FA6F4C" w14:textId="77777777" w:rsidR="00016601" w:rsidRDefault="00016601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</w:p>
          <w:p w14:paraId="5A073FBC" w14:textId="68E33CAA" w:rsidR="00FE003D" w:rsidRPr="00016601" w:rsidRDefault="00FE003D" w:rsidP="00FE003D">
            <w:pPr>
              <w:shd w:val="clear" w:color="auto" w:fill="FFFFFF"/>
              <w:spacing w:after="240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lastRenderedPageBreak/>
              <w:t xml:space="preserve">People 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m</w:t>
            </w: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anagement</w:t>
            </w:r>
            <w:r w:rsidR="00032C9E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:</w:t>
            </w:r>
          </w:p>
          <w:p w14:paraId="6324F905" w14:textId="77777777" w:rsidR="00FE003D" w:rsidRPr="00016601" w:rsidRDefault="00FE003D" w:rsidP="00FE003D">
            <w:pPr>
              <w:numPr>
                <w:ilvl w:val="0"/>
                <w:numId w:val="27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Managing and implementing strategies and training to maintain a productive, highly </w:t>
            </w:r>
            <w:proofErr w:type="gramStart"/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skilled</w:t>
            </w:r>
            <w:proofErr w:type="gramEnd"/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 xml:space="preserve"> and motivated team.</w:t>
            </w:r>
          </w:p>
          <w:p w14:paraId="1C7219F9" w14:textId="77777777" w:rsidR="00FE003D" w:rsidRPr="00016601" w:rsidRDefault="00FE003D" w:rsidP="00FE003D">
            <w:pPr>
              <w:numPr>
                <w:ilvl w:val="0"/>
                <w:numId w:val="27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</w:pPr>
            <w:r w:rsidRPr="00016601">
              <w:rPr>
                <w:rFonts w:ascii="Arial" w:hAnsi="Arial" w:cs="Arial"/>
                <w:color w:val="2D2D2D"/>
                <w:sz w:val="22"/>
                <w:szCs w:val="22"/>
                <w:lang w:eastAsia="en-GB"/>
              </w:rPr>
              <w:t>Responsible for all aspects of resource management within defined area of responsibility, including planning, resourcing, and recruitment.</w:t>
            </w:r>
          </w:p>
          <w:p w14:paraId="4C0B8B69" w14:textId="77777777" w:rsidR="00C62D65" w:rsidRPr="00016601" w:rsidRDefault="00C62D65" w:rsidP="00D34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B2D6F" w14:textId="77777777" w:rsidR="0068193F" w:rsidRPr="00016601" w:rsidRDefault="0068193F" w:rsidP="00FE003D">
            <w:pPr>
              <w:spacing w:after="2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D" w:rsidRPr="002D10BC" w14:paraId="50075A57" w14:textId="77777777" w:rsidTr="00353711">
        <w:tc>
          <w:tcPr>
            <w:tcW w:w="9322" w:type="dxa"/>
          </w:tcPr>
          <w:p w14:paraId="49EF75C3" w14:textId="10C56D47" w:rsidR="00FE003D" w:rsidRDefault="00FE003D" w:rsidP="00723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KNOWLEDGE, TRAINING, EXPERIENCE, TECHNICAL AND PERSONAL SKILLS:</w:t>
            </w:r>
          </w:p>
          <w:p w14:paraId="4B7E86D4" w14:textId="72C6A687" w:rsidR="00FE003D" w:rsidRDefault="00FE003D" w:rsidP="00723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D" w:rsidRPr="002D10BC" w14:paraId="497C652E" w14:textId="77777777" w:rsidTr="00353711">
        <w:tc>
          <w:tcPr>
            <w:tcW w:w="9322" w:type="dxa"/>
          </w:tcPr>
          <w:p w14:paraId="459CE053" w14:textId="2BD99523" w:rsidR="00FE003D" w:rsidRDefault="00FE003D" w:rsidP="00723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Required:</w:t>
            </w:r>
          </w:p>
          <w:p w14:paraId="553B2B3E" w14:textId="59F6C6F5" w:rsidR="00FE003D" w:rsidRDefault="00FE003D" w:rsidP="00723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74333" w14:textId="22F2D39E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Experience working within </w:t>
            </w:r>
            <w:r w:rsidR="00032C9E"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the </w:t>
            </w: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waste industry.</w:t>
            </w:r>
          </w:p>
          <w:p w14:paraId="2CA9BB98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Good people manager</w:t>
            </w:r>
            <w:r>
              <w:rPr>
                <w:rFonts w:ascii="Helvetica" w:hAnsi="Helvetica" w:cs="Helvetica"/>
                <w:color w:val="2D2D2D"/>
                <w:sz w:val="20"/>
                <w:lang w:eastAsia="en-GB"/>
              </w:rPr>
              <w:t>.</w:t>
            </w:r>
          </w:p>
          <w:p w14:paraId="068E7550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Good negotiation skills combined with strong commercial awareness.</w:t>
            </w:r>
          </w:p>
          <w:p w14:paraId="22372F4B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Proactive and safety focused approach.</w:t>
            </w:r>
          </w:p>
          <w:p w14:paraId="3A1E10AF" w14:textId="04D402DB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Hands</w:t>
            </w:r>
            <w:r w:rsidR="00032C9E">
              <w:rPr>
                <w:rFonts w:ascii="Helvetica" w:hAnsi="Helvetica" w:cs="Helvetica"/>
                <w:color w:val="2D2D2D"/>
                <w:sz w:val="20"/>
                <w:lang w:eastAsia="en-GB"/>
              </w:rPr>
              <w:t>-</w:t>
            </w: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on and methodical, organised with attention to detail.</w:t>
            </w:r>
          </w:p>
          <w:p w14:paraId="2E72EB82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Excellent written and verbal communication skills, including formal presentation and documentation skills.</w:t>
            </w:r>
          </w:p>
          <w:p w14:paraId="09C19D37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Analytical and logical in approach with the ability to analyse data and formulate action plans</w:t>
            </w:r>
            <w:r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 and solve problems</w:t>
            </w: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.</w:t>
            </w:r>
          </w:p>
          <w:p w14:paraId="63B9094A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Strong relationship building skills and be a confident networker.</w:t>
            </w:r>
          </w:p>
          <w:p w14:paraId="4CA65292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Highly focused on delivering results and objectives with a strong personal commitment to supporting the business in achieving its goals in a changing environment.</w:t>
            </w:r>
          </w:p>
          <w:p w14:paraId="23BA7A17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Must demonstrate high levels of integrity and adopt a professional approach in all interactions – should be transparent, </w:t>
            </w:r>
            <w:proofErr w:type="gramStart"/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open</w:t>
            </w:r>
            <w:proofErr w:type="gramEnd"/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 and honest in all dealings.</w:t>
            </w:r>
          </w:p>
          <w:p w14:paraId="43EA9008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DGSA</w:t>
            </w:r>
          </w:p>
          <w:p w14:paraId="18A46E48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ADR</w:t>
            </w:r>
          </w:p>
          <w:p w14:paraId="77277ECB" w14:textId="77777777" w:rsidR="00FE003D" w:rsidRPr="00E25BBD" w:rsidRDefault="00FE003D" w:rsidP="00FE003D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IOSH</w:t>
            </w:r>
          </w:p>
          <w:p w14:paraId="4DD5862B" w14:textId="52C9E5D8" w:rsidR="00FE003D" w:rsidRPr="00FE003D" w:rsidRDefault="00FE003D" w:rsidP="00137C73">
            <w:pPr>
              <w:numPr>
                <w:ilvl w:val="0"/>
                <w:numId w:val="2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E003D">
              <w:rPr>
                <w:rFonts w:ascii="Helvetica" w:hAnsi="Helvetica" w:cs="Helvetica"/>
                <w:color w:val="2D2D2D"/>
                <w:sz w:val="20"/>
                <w:lang w:eastAsia="en-GB"/>
              </w:rPr>
              <w:t>Strong PC and technical knowledge and skills with a good working knowledge of the Microsoft packages including Word and Excel.</w:t>
            </w:r>
          </w:p>
          <w:p w14:paraId="2A7E4727" w14:textId="2E56AA71" w:rsidR="00FE003D" w:rsidRDefault="00FE003D" w:rsidP="00723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65" w:rsidRPr="002D10BC" w14:paraId="217681B1" w14:textId="77777777" w:rsidTr="00353711">
        <w:tc>
          <w:tcPr>
            <w:tcW w:w="9322" w:type="dxa"/>
          </w:tcPr>
          <w:p w14:paraId="082BB6F3" w14:textId="77777777" w:rsidR="00C62D65" w:rsidRDefault="007D7F13" w:rsidP="00723880">
            <w:pPr>
              <w:rPr>
                <w:rFonts w:ascii="Arial" w:hAnsi="Arial" w:cs="Arial"/>
                <w:sz w:val="22"/>
                <w:szCs w:val="22"/>
              </w:rPr>
            </w:pPr>
            <w:r w:rsidRPr="00AD6BF7">
              <w:rPr>
                <w:rFonts w:ascii="Arial" w:hAnsi="Arial" w:cs="Arial"/>
                <w:sz w:val="22"/>
                <w:szCs w:val="22"/>
              </w:rPr>
              <w:t>D</w:t>
            </w:r>
            <w:r w:rsidR="00C62D65" w:rsidRPr="00AD6BF7">
              <w:rPr>
                <w:rFonts w:ascii="Arial" w:hAnsi="Arial" w:cs="Arial"/>
                <w:sz w:val="22"/>
                <w:szCs w:val="22"/>
              </w:rPr>
              <w:t>esired</w:t>
            </w:r>
            <w:r w:rsidR="00AD6BF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51735B" w14:textId="77777777" w:rsidR="0068193F" w:rsidRDefault="0068193F" w:rsidP="00FE003D">
            <w:pPr>
              <w:rPr>
                <w:rFonts w:ascii="Arial" w:hAnsi="Arial" w:cs="Arial"/>
                <w:sz w:val="12"/>
              </w:rPr>
            </w:pPr>
          </w:p>
          <w:p w14:paraId="3C345FD7" w14:textId="77777777" w:rsidR="00FE003D" w:rsidRPr="00E25BBD" w:rsidRDefault="00FE003D" w:rsidP="00FE003D">
            <w:pPr>
              <w:numPr>
                <w:ilvl w:val="0"/>
                <w:numId w:val="29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Chemistry degree</w:t>
            </w:r>
          </w:p>
          <w:p w14:paraId="404D7FF7" w14:textId="77777777" w:rsidR="00FE003D" w:rsidRDefault="00FE003D" w:rsidP="00FE003D">
            <w:pPr>
              <w:numPr>
                <w:ilvl w:val="0"/>
                <w:numId w:val="29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 w:rsidRPr="00E25BBD">
              <w:rPr>
                <w:rFonts w:ascii="Helvetica" w:hAnsi="Helvetica" w:cs="Helvetica"/>
                <w:color w:val="2D2D2D"/>
                <w:sz w:val="20"/>
                <w:lang w:eastAsia="en-GB"/>
              </w:rPr>
              <w:t>NEBOSH</w:t>
            </w:r>
            <w:r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 General Health and Safety</w:t>
            </w:r>
          </w:p>
          <w:p w14:paraId="7832FDCB" w14:textId="4BE49CE4" w:rsidR="00FE003D" w:rsidRPr="00E25BBD" w:rsidRDefault="00FE003D" w:rsidP="00FE003D">
            <w:pPr>
              <w:numPr>
                <w:ilvl w:val="0"/>
                <w:numId w:val="29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Helvetica"/>
                <w:color w:val="2D2D2D"/>
                <w:sz w:val="20"/>
                <w:lang w:eastAsia="en-GB"/>
              </w:rPr>
            </w:pPr>
            <w:r>
              <w:rPr>
                <w:rFonts w:ascii="Helvetica" w:hAnsi="Helvetica" w:cs="Helvetica"/>
                <w:color w:val="2D2D2D"/>
                <w:sz w:val="20"/>
                <w:lang w:eastAsia="en-GB"/>
              </w:rPr>
              <w:t xml:space="preserve">WAMITAB COTC level 4 Managing Treatment of Hazardous Waste </w:t>
            </w:r>
          </w:p>
          <w:p w14:paraId="0DFC41D7" w14:textId="17BD4799" w:rsidR="00FE003D" w:rsidRPr="00FE003D" w:rsidRDefault="00FE003D" w:rsidP="00FE003D">
            <w:pPr>
              <w:rPr>
                <w:rFonts w:ascii="Arial" w:hAnsi="Arial" w:cs="Arial"/>
                <w:sz w:val="12"/>
              </w:rPr>
            </w:pPr>
          </w:p>
        </w:tc>
      </w:tr>
    </w:tbl>
    <w:p w14:paraId="5A5A19B3" w14:textId="71CD063A" w:rsidR="006E2BD5" w:rsidRDefault="00FE003D" w:rsidP="006E2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RENUMERATION:</w:t>
      </w:r>
      <w:r w:rsidR="00016601">
        <w:rPr>
          <w:rFonts w:ascii="Arial" w:hAnsi="Arial" w:cs="Arial"/>
          <w:sz w:val="22"/>
          <w:szCs w:val="22"/>
        </w:rPr>
        <w:t xml:space="preserve"> Competitive Salary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6E2BD5" w:rsidRPr="002D10BC" w14:paraId="35564075" w14:textId="77777777" w:rsidTr="00245424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14:paraId="16605D66" w14:textId="39F0059A" w:rsidR="006E2BD5" w:rsidRPr="002D10BC" w:rsidRDefault="006E2BD5" w:rsidP="008E3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</w:tcBorders>
          </w:tcPr>
          <w:p w14:paraId="09EBC7A2" w14:textId="77777777" w:rsidR="006E2BD5" w:rsidRPr="002D10BC" w:rsidRDefault="006E2BD5" w:rsidP="003630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BD5" w:rsidRPr="002D10BC" w14:paraId="04E1D911" w14:textId="77777777" w:rsidTr="00245424">
        <w:tc>
          <w:tcPr>
            <w:tcW w:w="2088" w:type="dxa"/>
            <w:tcBorders>
              <w:top w:val="nil"/>
              <w:right w:val="nil"/>
            </w:tcBorders>
          </w:tcPr>
          <w:p w14:paraId="48F3A198" w14:textId="36129325" w:rsidR="006E2BD5" w:rsidRPr="002D10BC" w:rsidRDefault="006E2BD5" w:rsidP="008E3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nil"/>
              <w:left w:val="nil"/>
            </w:tcBorders>
          </w:tcPr>
          <w:p w14:paraId="458B1CEF" w14:textId="4813AE4D" w:rsidR="006E2BD5" w:rsidRPr="002D10BC" w:rsidRDefault="006E2BD5" w:rsidP="008E37A8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BB18E" w14:textId="77777777" w:rsidR="00B565E9" w:rsidRPr="002D10BC" w:rsidRDefault="00B565E9" w:rsidP="006600C1">
      <w:pPr>
        <w:rPr>
          <w:rFonts w:ascii="Arial" w:hAnsi="Arial" w:cs="Arial"/>
          <w:sz w:val="22"/>
          <w:szCs w:val="22"/>
        </w:rPr>
      </w:pPr>
    </w:p>
    <w:p w14:paraId="60F418C0" w14:textId="77777777" w:rsidR="00B565E9" w:rsidRPr="002D10BC" w:rsidRDefault="00B565E9" w:rsidP="00B565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B565E9" w:rsidRPr="002D10BC" w14:paraId="0BE665B5" w14:textId="77777777" w:rsidTr="00353711">
        <w:tc>
          <w:tcPr>
            <w:tcW w:w="1809" w:type="dxa"/>
          </w:tcPr>
          <w:p w14:paraId="2AF6B3A9" w14:textId="77777777" w:rsidR="00B565E9" w:rsidRPr="002D10BC" w:rsidRDefault="00B565E9" w:rsidP="00B565E9">
            <w:pPr>
              <w:rPr>
                <w:rFonts w:ascii="Arial" w:hAnsi="Arial" w:cs="Arial"/>
                <w:sz w:val="22"/>
                <w:szCs w:val="22"/>
              </w:rPr>
            </w:pPr>
            <w:r w:rsidRPr="002D10B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13" w:type="dxa"/>
          </w:tcPr>
          <w:p w14:paraId="555729AB" w14:textId="10B1BBEC" w:rsidR="00B565E9" w:rsidRPr="002D10BC" w:rsidRDefault="00016601" w:rsidP="00B56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1/2/2021</w:t>
            </w:r>
          </w:p>
        </w:tc>
      </w:tr>
    </w:tbl>
    <w:p w14:paraId="20D88967" w14:textId="77777777" w:rsidR="00B565E9" w:rsidRPr="002D10BC" w:rsidRDefault="00B565E9" w:rsidP="00B565E9">
      <w:pPr>
        <w:rPr>
          <w:rFonts w:ascii="Arial" w:hAnsi="Arial" w:cs="Arial"/>
          <w:sz w:val="22"/>
          <w:szCs w:val="22"/>
        </w:rPr>
      </w:pPr>
    </w:p>
    <w:p w14:paraId="2E1BF42F" w14:textId="77777777" w:rsidR="00B565E9" w:rsidRPr="002D10BC" w:rsidRDefault="00B565E9" w:rsidP="006600C1">
      <w:pPr>
        <w:rPr>
          <w:rFonts w:ascii="Arial" w:hAnsi="Arial" w:cs="Arial"/>
          <w:sz w:val="20"/>
        </w:rPr>
      </w:pPr>
    </w:p>
    <w:sectPr w:rsidR="00B565E9" w:rsidRPr="002D10BC" w:rsidSect="001D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47CF" w14:textId="77777777" w:rsidR="00386870" w:rsidRDefault="00386870" w:rsidP="006B2E6E">
      <w:r>
        <w:separator/>
      </w:r>
    </w:p>
  </w:endnote>
  <w:endnote w:type="continuationSeparator" w:id="0">
    <w:p w14:paraId="6F46A76C" w14:textId="77777777" w:rsidR="00386870" w:rsidRDefault="00386870" w:rsidP="006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20C9" w14:textId="77777777" w:rsidR="00386870" w:rsidRDefault="00386870" w:rsidP="006B2E6E">
      <w:r>
        <w:separator/>
      </w:r>
    </w:p>
  </w:footnote>
  <w:footnote w:type="continuationSeparator" w:id="0">
    <w:p w14:paraId="1246A46D" w14:textId="77777777" w:rsidR="00386870" w:rsidRDefault="00386870" w:rsidP="006B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459"/>
    <w:multiLevelType w:val="hybridMultilevel"/>
    <w:tmpl w:val="8FB0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B07"/>
    <w:multiLevelType w:val="hybridMultilevel"/>
    <w:tmpl w:val="C730F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1736E"/>
    <w:multiLevelType w:val="hybridMultilevel"/>
    <w:tmpl w:val="0D04D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448"/>
    <w:multiLevelType w:val="multilevel"/>
    <w:tmpl w:val="E00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F0294"/>
    <w:multiLevelType w:val="hybridMultilevel"/>
    <w:tmpl w:val="3298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98B"/>
    <w:multiLevelType w:val="hybridMultilevel"/>
    <w:tmpl w:val="1CE4C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4A43"/>
    <w:multiLevelType w:val="hybridMultilevel"/>
    <w:tmpl w:val="7DB4C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DD4"/>
    <w:multiLevelType w:val="hybridMultilevel"/>
    <w:tmpl w:val="D494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D17"/>
    <w:multiLevelType w:val="hybridMultilevel"/>
    <w:tmpl w:val="C7B88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820CE"/>
    <w:multiLevelType w:val="hybridMultilevel"/>
    <w:tmpl w:val="7804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3446"/>
    <w:multiLevelType w:val="hybridMultilevel"/>
    <w:tmpl w:val="418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73BC"/>
    <w:multiLevelType w:val="hybridMultilevel"/>
    <w:tmpl w:val="0474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C0DB8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2401D"/>
    <w:multiLevelType w:val="hybridMultilevel"/>
    <w:tmpl w:val="D20A71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82619"/>
    <w:multiLevelType w:val="hybridMultilevel"/>
    <w:tmpl w:val="B244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2A0E"/>
    <w:multiLevelType w:val="hybridMultilevel"/>
    <w:tmpl w:val="2AA6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6188C"/>
    <w:multiLevelType w:val="hybridMultilevel"/>
    <w:tmpl w:val="B44E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F2773"/>
    <w:multiLevelType w:val="hybridMultilevel"/>
    <w:tmpl w:val="DB6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D0BAB"/>
    <w:multiLevelType w:val="hybridMultilevel"/>
    <w:tmpl w:val="8F344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C1121"/>
    <w:multiLevelType w:val="multilevel"/>
    <w:tmpl w:val="95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320D5"/>
    <w:multiLevelType w:val="hybridMultilevel"/>
    <w:tmpl w:val="A79C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F4394"/>
    <w:multiLevelType w:val="hybridMultilevel"/>
    <w:tmpl w:val="AC0E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7AC5"/>
    <w:multiLevelType w:val="hybridMultilevel"/>
    <w:tmpl w:val="6C4E4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801D6"/>
    <w:multiLevelType w:val="multilevel"/>
    <w:tmpl w:val="164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3B5A"/>
    <w:multiLevelType w:val="hybridMultilevel"/>
    <w:tmpl w:val="59384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D3F9E"/>
    <w:multiLevelType w:val="multilevel"/>
    <w:tmpl w:val="9576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1230F"/>
    <w:multiLevelType w:val="hybridMultilevel"/>
    <w:tmpl w:val="50F2B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5133F4"/>
    <w:multiLevelType w:val="hybridMultilevel"/>
    <w:tmpl w:val="1CE4C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2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26"/>
  </w:num>
  <w:num w:numId="19">
    <w:abstractNumId w:val="14"/>
  </w:num>
  <w:num w:numId="20">
    <w:abstractNumId w:val="11"/>
  </w:num>
  <w:num w:numId="21">
    <w:abstractNumId w:val="15"/>
  </w:num>
  <w:num w:numId="22">
    <w:abstractNumId w:val="20"/>
  </w:num>
  <w:num w:numId="23">
    <w:abstractNumId w:val="0"/>
  </w:num>
  <w:num w:numId="24">
    <w:abstractNumId w:val="10"/>
  </w:num>
  <w:num w:numId="25">
    <w:abstractNumId w:val="13"/>
  </w:num>
  <w:num w:numId="26">
    <w:abstractNumId w:val="3"/>
  </w:num>
  <w:num w:numId="27">
    <w:abstractNumId w:val="2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D5"/>
    <w:rsid w:val="00016601"/>
    <w:rsid w:val="00032C9E"/>
    <w:rsid w:val="000D7378"/>
    <w:rsid w:val="000F5271"/>
    <w:rsid w:val="001464A0"/>
    <w:rsid w:val="0017514B"/>
    <w:rsid w:val="001801CD"/>
    <w:rsid w:val="001C56AD"/>
    <w:rsid w:val="001D30BE"/>
    <w:rsid w:val="001D75D8"/>
    <w:rsid w:val="001F222A"/>
    <w:rsid w:val="0022223B"/>
    <w:rsid w:val="00245424"/>
    <w:rsid w:val="00245CE4"/>
    <w:rsid w:val="0025506C"/>
    <w:rsid w:val="00265938"/>
    <w:rsid w:val="00274E7D"/>
    <w:rsid w:val="002A3E6F"/>
    <w:rsid w:val="002B675B"/>
    <w:rsid w:val="002B7128"/>
    <w:rsid w:val="002D10BC"/>
    <w:rsid w:val="002D67B4"/>
    <w:rsid w:val="002F6860"/>
    <w:rsid w:val="00353711"/>
    <w:rsid w:val="00363023"/>
    <w:rsid w:val="00386870"/>
    <w:rsid w:val="0039676C"/>
    <w:rsid w:val="003F505D"/>
    <w:rsid w:val="00417D04"/>
    <w:rsid w:val="00452294"/>
    <w:rsid w:val="004E0076"/>
    <w:rsid w:val="005B596D"/>
    <w:rsid w:val="00604F76"/>
    <w:rsid w:val="006600C1"/>
    <w:rsid w:val="006778FF"/>
    <w:rsid w:val="0068193F"/>
    <w:rsid w:val="00690A98"/>
    <w:rsid w:val="006A47A5"/>
    <w:rsid w:val="006B2E6E"/>
    <w:rsid w:val="006C4AE8"/>
    <w:rsid w:val="006E2BD5"/>
    <w:rsid w:val="00723880"/>
    <w:rsid w:val="007D7F13"/>
    <w:rsid w:val="00822B65"/>
    <w:rsid w:val="00844823"/>
    <w:rsid w:val="008967A0"/>
    <w:rsid w:val="008C3B44"/>
    <w:rsid w:val="008E37A8"/>
    <w:rsid w:val="00966ABD"/>
    <w:rsid w:val="009A230D"/>
    <w:rsid w:val="009A3B40"/>
    <w:rsid w:val="00A43700"/>
    <w:rsid w:val="00A50C08"/>
    <w:rsid w:val="00AD6BF7"/>
    <w:rsid w:val="00AE6C8B"/>
    <w:rsid w:val="00B121B1"/>
    <w:rsid w:val="00B565E9"/>
    <w:rsid w:val="00BA64D3"/>
    <w:rsid w:val="00BC3C88"/>
    <w:rsid w:val="00BF29CD"/>
    <w:rsid w:val="00C20668"/>
    <w:rsid w:val="00C62D65"/>
    <w:rsid w:val="00C773A5"/>
    <w:rsid w:val="00C81D27"/>
    <w:rsid w:val="00CA3272"/>
    <w:rsid w:val="00D347F3"/>
    <w:rsid w:val="00D90278"/>
    <w:rsid w:val="00DB00C8"/>
    <w:rsid w:val="00E1251B"/>
    <w:rsid w:val="00E177A7"/>
    <w:rsid w:val="00E25B04"/>
    <w:rsid w:val="00E32A1A"/>
    <w:rsid w:val="00F329A1"/>
    <w:rsid w:val="00FA2A4A"/>
    <w:rsid w:val="00FB4D50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D329"/>
  <w15:docId w15:val="{A873A22C-F8D4-4ECD-B184-C1A5FE8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E2BD5"/>
    <w:rPr>
      <w:rFonts w:ascii="Palatino" w:hAnsi="Palatino"/>
    </w:rPr>
  </w:style>
  <w:style w:type="character" w:customStyle="1" w:styleId="EndnoteTextChar">
    <w:name w:val="Endnote Text Char"/>
    <w:basedOn w:val="DefaultParagraphFont"/>
    <w:link w:val="EndnoteText"/>
    <w:semiHidden/>
    <w:rsid w:val="006E2BD5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rsid w:val="006E2BD5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E2BD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30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2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2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6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5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263E-BEC6-473A-B067-DAF1E8BC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Bagnall And Morris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Gaynor Vermeulen</cp:lastModifiedBy>
  <cp:revision>2</cp:revision>
  <cp:lastPrinted>2015-10-16T08:11:00Z</cp:lastPrinted>
  <dcterms:created xsi:type="dcterms:W3CDTF">2021-02-01T15:43:00Z</dcterms:created>
  <dcterms:modified xsi:type="dcterms:W3CDTF">2021-02-01T15:43:00Z</dcterms:modified>
</cp:coreProperties>
</file>